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2023/24 уч. 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>г.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ВСЕРОССИЙСКАЯ ОЛИМПИАДА ШКОЛЬНИКОВ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 ОСНОВАМ БЕЗОПАСНОСТИ ЖИЗНЕДЕЯТЕЛЬНОСТИ 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ШКОЛЬНЫЙ ЭТАП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ТЕОРЕТИЧЕСКИЙ ТУР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</w:t>
      </w:r>
      <w:r>
        <w:rPr>
          <w:rFonts w:cs="Times New Roman" w:ascii="Times New Roman" w:hAnsi="Times New Roman"/>
          <w:sz w:val="28"/>
          <w:szCs w:val="28"/>
        </w:rPr>
        <w:t xml:space="preserve">озрастная группа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eastAsia="Calibri"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10-</w:t>
      </w:r>
      <w:r>
        <w:rPr>
          <w:rFonts w:cs="Times New Roman" w:ascii="Times New Roman" w:hAnsi="Times New Roman"/>
          <w:sz w:val="28"/>
          <w:szCs w:val="28"/>
        </w:rPr>
        <w:t>й</w:t>
      </w:r>
      <w:r>
        <w:rPr>
          <w:rFonts w:cs="Times New Roman" w:ascii="Times New Roman" w:hAnsi="Times New Roman"/>
          <w:sz w:val="28"/>
          <w:szCs w:val="28"/>
        </w:rPr>
        <w:t xml:space="preserve"> класс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Критерии и методика оценки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C8"/>
        <w:shd w:val="clear" w:color="auto" w:fill="FFFFFF"/>
        <w:spacing w:beforeAutospacing="0" w:before="0" w:afterAutospacing="0" w:after="0"/>
        <w:rPr>
          <w:rFonts w:ascii="Calibri" w:hAnsi="Calibri" w:cs="Calibri"/>
          <w:color w:val="000000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t>Задание 1.</w:t>
      </w:r>
      <w:r>
        <w:rPr>
          <w:rStyle w:val="C2"/>
          <w:rFonts w:cs="Calibri" w:ascii="Calibri" w:hAnsi="Calibri"/>
          <w:b/>
          <w:bCs/>
          <w:color w:val="000000"/>
          <w:sz w:val="28"/>
          <w:szCs w:val="28"/>
        </w:rPr>
        <w:t xml:space="preserve"> </w:t>
      </w:r>
      <w:r>
        <w:rPr>
          <w:rStyle w:val="C2"/>
          <w:b w:val="false"/>
          <w:bCs w:val="false"/>
          <w:color w:val="000000"/>
          <w:sz w:val="28"/>
          <w:szCs w:val="28"/>
        </w:rPr>
        <w:t>Вставьте пропущенные фразы в текст.</w:t>
      </w:r>
    </w:p>
    <w:p>
      <w:pPr>
        <w:pStyle w:val="C23"/>
        <w:shd w:val="clear" w:color="auto" w:fill="FFFFFF"/>
        <w:spacing w:beforeAutospacing="0" w:before="0" w:afterAutospacing="0" w:after="0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rStyle w:val="C24"/>
          <w:color w:val="000000"/>
          <w:sz w:val="28"/>
          <w:szCs w:val="28"/>
        </w:rPr>
        <w:t xml:space="preserve">     </w:t>
      </w:r>
      <w:r>
        <w:rPr>
          <w:rStyle w:val="C24"/>
          <w:color w:val="000000"/>
          <w:sz w:val="28"/>
          <w:szCs w:val="28"/>
        </w:rPr>
        <w:t xml:space="preserve">Куликовская битва (1, </w:t>
      </w:r>
      <w:r>
        <w:rPr>
          <w:rStyle w:val="C24"/>
          <w:i/>
          <w:iCs/>
          <w:color w:val="000000"/>
          <w:sz w:val="28"/>
          <w:szCs w:val="28"/>
        </w:rPr>
        <w:t>укажите год</w:t>
      </w:r>
      <w:r>
        <w:rPr>
          <w:rStyle w:val="C24"/>
          <w:i/>
          <w:iCs/>
          <w:color w:val="000000"/>
          <w:sz w:val="28"/>
          <w:szCs w:val="28"/>
        </w:rPr>
        <w:t>)</w:t>
      </w:r>
      <w:r>
        <w:rPr>
          <w:rStyle w:val="C0"/>
          <w:color w:val="000000"/>
          <w:sz w:val="28"/>
          <w:szCs w:val="28"/>
        </w:rPr>
        <w:t xml:space="preserve">__________ между русским войском во главе с великим князем (2)________________ и войском Золотой Орды под командованием темника (3)______________ на Куликовом поле – одна из крупнейших битв, положившая начало освобождению народов Восточной Европы от (4)____________________________. После Куликовской битвы </w:t>
      </w:r>
      <w:r>
        <w:rPr>
          <w:rStyle w:val="C0"/>
          <w:color w:val="000000"/>
          <w:sz w:val="28"/>
          <w:szCs w:val="28"/>
        </w:rPr>
        <w:t>в</w:t>
      </w:r>
      <w:r>
        <w:rPr>
          <w:rStyle w:val="C0"/>
          <w:color w:val="000000"/>
          <w:sz w:val="28"/>
          <w:szCs w:val="28"/>
        </w:rPr>
        <w:t>еликий князь получил поч</w:t>
      </w:r>
      <w:r>
        <w:rPr>
          <w:rStyle w:val="C0"/>
          <w:color w:val="000000"/>
          <w:sz w:val="28"/>
          <w:szCs w:val="28"/>
        </w:rPr>
        <w:t>ё</w:t>
      </w:r>
      <w:r>
        <w:rPr>
          <w:rStyle w:val="C0"/>
          <w:color w:val="000000"/>
          <w:sz w:val="28"/>
          <w:szCs w:val="28"/>
        </w:rPr>
        <w:t>тное прозвище (5)__________________.</w:t>
      </w:r>
    </w:p>
    <w:p>
      <w:pPr>
        <w:pStyle w:val="NoSpacing"/>
        <w:rPr>
          <w:rStyle w:val="C18"/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Style w:val="C18"/>
          <w:rFonts w:cs="Times New Roman" w:ascii="Times New Roman" w:hAnsi="Times New Roman"/>
          <w:b/>
          <w:color w:val="000000"/>
          <w:sz w:val="28"/>
          <w:szCs w:val="28"/>
        </w:rPr>
        <w:t>Решение (вариант ответа):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Style w:val="C0"/>
          <w:rFonts w:cs="Times New Roman" w:ascii="Times New Roman" w:hAnsi="Times New Roman"/>
          <w:color w:val="000000"/>
          <w:sz w:val="28"/>
          <w:szCs w:val="28"/>
        </w:rPr>
        <w:t>1. 1380 год,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Style w:val="C0"/>
          <w:rFonts w:cs="Times New Roman" w:ascii="Times New Roman" w:hAnsi="Times New Roman"/>
          <w:color w:val="000000"/>
          <w:sz w:val="28"/>
          <w:szCs w:val="28"/>
        </w:rPr>
        <w:t>2. Дмитрий Иванович,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Style w:val="C0"/>
          <w:rFonts w:cs="Times New Roman" w:ascii="Times New Roman" w:hAnsi="Times New Roman"/>
          <w:color w:val="000000"/>
          <w:sz w:val="28"/>
          <w:szCs w:val="28"/>
        </w:rPr>
        <w:t>3. Мамай,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Style w:val="C0"/>
          <w:rFonts w:cs="Times New Roman" w:ascii="Times New Roman" w:hAnsi="Times New Roman"/>
          <w:color w:val="000000"/>
          <w:sz w:val="28"/>
          <w:szCs w:val="28"/>
        </w:rPr>
        <w:t>4. монголо-татарское иго,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Style w:val="C0"/>
          <w:rFonts w:cs="Times New Roman" w:ascii="Times New Roman" w:hAnsi="Times New Roman"/>
          <w:color w:val="000000"/>
          <w:sz w:val="28"/>
          <w:szCs w:val="28"/>
        </w:rPr>
        <w:t>5. Донской.</w:t>
      </w:r>
    </w:p>
    <w:p>
      <w:pPr>
        <w:pStyle w:val="NoSpacing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cs="Times New Roman" w:ascii="Times New Roman" w:hAnsi="Times New Roman"/>
          <w:color w:val="000000"/>
          <w:sz w:val="28"/>
          <w:szCs w:val="28"/>
        </w:rPr>
        <w:t xml:space="preserve">Максимальная оценка за правильно выполненное задание – 40 баллов. 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Style w:val="C0"/>
          <w:rFonts w:cs="Times New Roman" w:ascii="Times New Roman" w:hAnsi="Times New Roman"/>
          <w:color w:val="000000"/>
          <w:sz w:val="28"/>
          <w:szCs w:val="28"/>
        </w:rPr>
        <w:t>По 8 баллов за каждый правильный ответ.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Style w:val="C0"/>
          <w:rFonts w:cs="Times New Roman" w:ascii="Times New Roman" w:hAnsi="Times New Roman"/>
          <w:color w:val="000000"/>
          <w:sz w:val="28"/>
          <w:szCs w:val="28"/>
        </w:rPr>
        <w:t>Если ответ не указан или неверен, то баллы за позицию не начисляются.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Задание 2. </w:t>
      </w:r>
      <w:r>
        <w:rPr>
          <w:rFonts w:cs="Times New Roman" w:ascii="Times New Roman" w:hAnsi="Times New Roman"/>
          <w:sz w:val="28"/>
          <w:szCs w:val="28"/>
        </w:rPr>
        <w:t>Инфекции, передаваемые половым пут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 xml:space="preserve">м (ИППП), </w:t>
      </w:r>
      <w:r>
        <w:rPr>
          <w:rFonts w:eastAsia="Times New Roman" w:cs="Times New Roman" w:ascii="Times New Roman" w:hAnsi="Times New Roman"/>
          <w:sz w:val="28"/>
          <w:szCs w:val="28"/>
        </w:rPr>
        <w:t>‒</w:t>
      </w:r>
      <w:r>
        <w:rPr>
          <w:rFonts w:cs="Times New Roman" w:ascii="Times New Roman" w:hAnsi="Times New Roman"/>
          <w:sz w:val="28"/>
          <w:szCs w:val="28"/>
        </w:rPr>
        <w:t xml:space="preserve"> это группа инфекционных болезней, возбудители которых передаются преимущественно половым пут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м. В настоящее время таких инфекций насчитывается свыше 20. По данным ВОЗ, в мире каждый год регистрируется около 300 млн случаев ИППП. Заполните таблицу наиболее распространенных инфекций, передаваемых половым пут</w:t>
      </w:r>
      <w:r>
        <w:rPr>
          <w:rFonts w:cs="Times New Roman" w:ascii="Times New Roman" w:hAnsi="Times New Roman"/>
          <w:sz w:val="28"/>
          <w:szCs w:val="28"/>
        </w:rPr>
        <w:t>ё</w:t>
      </w:r>
      <w:r>
        <w:rPr>
          <w:rFonts w:cs="Times New Roman" w:ascii="Times New Roman" w:hAnsi="Times New Roman"/>
          <w:sz w:val="28"/>
          <w:szCs w:val="28"/>
        </w:rPr>
        <w:t>м, указав вид ИППП.</w:t>
      </w:r>
    </w:p>
    <w:tbl>
      <w:tblPr>
        <w:tblStyle w:val="a5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093"/>
        <w:gridCol w:w="7477"/>
      </w:tblGrid>
      <w:tr>
        <w:trPr/>
        <w:tc>
          <w:tcPr>
            <w:tcW w:w="209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Виды ИППП</w:t>
            </w:r>
          </w:p>
        </w:tc>
        <w:tc>
          <w:tcPr>
            <w:tcW w:w="747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Причина и природа происхождения</w:t>
            </w:r>
          </w:p>
        </w:tc>
      </w:tr>
      <w:tr>
        <w:trPr>
          <w:trHeight w:val="841" w:hRule="atLeast"/>
        </w:trPr>
        <w:tc>
          <w:tcPr>
            <w:tcW w:w="209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Сифилис</w:t>
            </w:r>
          </w:p>
        </w:tc>
        <w:tc>
          <w:tcPr>
            <w:tcW w:w="747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Заражение происходит при тесном контакте с больным. Наиболее частый путь заражения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‒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половой контакт, но возможен и бытовой, когда заражение происходит при поцелуе, пользовании предметами домашнего обихода (зубная щ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ё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тка, ложка), которыми до этого пользовался больной, курении одной сигареты с больным</w:t>
            </w:r>
          </w:p>
        </w:tc>
      </w:tr>
      <w:tr>
        <w:trPr/>
        <w:tc>
          <w:tcPr>
            <w:tcW w:w="209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Гонорея</w:t>
            </w:r>
          </w:p>
        </w:tc>
        <w:tc>
          <w:tcPr>
            <w:tcW w:w="747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Заболевание, вызываемое гонококком. Переда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ё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тся, как правило, половым пут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ё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м от больного гонореей или от бактерионосителя. Во время контакта гонококк попадает на слизистую оболочку половых органов и мочеиспускательного канала и вызывает местное воспаление. Возможно и бытовое заражение</w:t>
            </w:r>
          </w:p>
        </w:tc>
      </w:tr>
      <w:tr>
        <w:trPr/>
        <w:tc>
          <w:tcPr>
            <w:tcW w:w="209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Генитальный герпес</w:t>
            </w:r>
          </w:p>
        </w:tc>
        <w:tc>
          <w:tcPr>
            <w:tcW w:w="747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Он переда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ё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тся половым пут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ё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м и вызывает высыпания 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‒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язвы на половых органах и вокруг них. Такие высыпания могут появляться каждые несколько недель и длиться несколько дней, потом могут на долгое время исчезнуть. Однако даже после полного заживания вирус оста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ё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тся в организме и вызывает периодические обострения</w:t>
            </w:r>
          </w:p>
        </w:tc>
      </w:tr>
      <w:tr>
        <w:trPr/>
        <w:tc>
          <w:tcPr>
            <w:tcW w:w="209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Хламидиоз</w:t>
            </w:r>
          </w:p>
        </w:tc>
        <w:tc>
          <w:tcPr>
            <w:tcW w:w="747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Болезнь, возбудителем которой является микроорганизм, называемый хламидией (паразитирует преимущественно в мочеполовых органах). Признаки болезни проявляются через 1</w:t>
            </w:r>
            <w:r>
              <w:rPr>
                <w:rFonts w:eastAsia="Times New Roman" w:cs="Times New Roman" w:ascii="Times New Roman" w:hAnsi="Times New Roman"/>
                <w:sz w:val="26"/>
                <w:szCs w:val="26"/>
              </w:rPr>
              <w:t>‒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4 недели после заражения. У мужчин они те же, что при гонорее. У женщин эта болезнь часто протекает незамеченной</w:t>
            </w:r>
          </w:p>
        </w:tc>
      </w:tr>
    </w:tbl>
    <w:p>
      <w:pPr>
        <w:pStyle w:val="NoSpacing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cs="Times New Roman" w:ascii="Times New Roman" w:hAnsi="Times New Roman"/>
          <w:color w:val="000000"/>
          <w:sz w:val="28"/>
          <w:szCs w:val="28"/>
        </w:rPr>
        <w:t xml:space="preserve">Максимальная оценка за правильно выполненное задание – 40 баллов. 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Style w:val="C0"/>
          <w:rFonts w:cs="Times New Roman" w:ascii="Times New Roman" w:hAnsi="Times New Roman"/>
          <w:color w:val="000000"/>
          <w:sz w:val="28"/>
          <w:szCs w:val="28"/>
        </w:rPr>
        <w:t>По 10 баллов за каждый правильный ответ.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Style w:val="C0"/>
          <w:rFonts w:cs="Times New Roman" w:ascii="Times New Roman" w:hAnsi="Times New Roman"/>
          <w:color w:val="000000"/>
          <w:sz w:val="28"/>
          <w:szCs w:val="28"/>
        </w:rPr>
        <w:t>Если ответ не указан или неверен, то баллы за позицию не начисляют-ся.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Задание 3. </w:t>
      </w:r>
      <w:r>
        <w:rPr>
          <w:rFonts w:cs="Times New Roman" w:ascii="Times New Roman" w:hAnsi="Times New Roman"/>
          <w:sz w:val="28"/>
          <w:szCs w:val="28"/>
        </w:rPr>
        <w:t>Установите соответствие между типом повязки и её характерис-тикой (описанием).</w:t>
      </w:r>
    </w:p>
    <w:p>
      <w:pPr>
        <w:pStyle w:val="Normal"/>
        <w:rPr/>
      </w:pPr>
      <w:r>
        <w:rPr/>
      </w:r>
    </w:p>
    <w:tbl>
      <w:tblPr>
        <w:tblStyle w:val="a5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18"/>
        <w:gridCol w:w="2125"/>
        <w:gridCol w:w="4928"/>
      </w:tblGrid>
      <w:tr>
        <w:trPr/>
        <w:tc>
          <w:tcPr>
            <w:tcW w:w="251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Тип повязки </w:t>
            </w:r>
          </w:p>
        </w:tc>
        <w:tc>
          <w:tcPr>
            <w:tcW w:w="2125" w:type="dxa"/>
            <w:vMerge w:val="restart"/>
            <w:tcBorders>
              <w:top w:val="nil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2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684530</wp:posOffset>
                      </wp:positionV>
                      <wp:extent cx="1277620" cy="3065145"/>
                      <wp:effectExtent l="0" t="0" r="0" b="0"/>
                      <wp:wrapNone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6920" cy="306468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21600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rgbClr val="000000"/>
                                </a:solidFill>
                                <a:tailEnd len="med" type="triangle" w="med"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shapetype_32" coordsize="21600,21600" o:spt="32" path="m,l21600,21600nfe">
                      <v:stroke joinstyle="miter"/>
                      <v:path gradientshapeok="t" o:connecttype="rect" textboxrect="0,0,21600,21600"/>
                    </v:shapetype>
                    <v:shape id="shape_0" stroked="t" style="position:absolute;margin-left:-2.05pt;margin-top:53.9pt;width:100.5pt;height:241.25pt" type="shapetype_32">
                      <w10:wrap type="none"/>
                      <v:fill o:detectmouseclick="t" on="false"/>
                      <v:stroke color="black" endarrow="block" endarrowwidth="medium" endarrowlength="medium" joinstyle="round" endcap="flat"/>
                    </v:shape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3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2431415</wp:posOffset>
                      </wp:positionV>
                      <wp:extent cx="1318895" cy="2834005"/>
                      <wp:effectExtent l="0" t="0" r="0" b="0"/>
                      <wp:wrapNone/>
                      <wp:docPr id="2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8320" cy="283320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21600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rgbClr val="000000"/>
                                </a:solidFill>
                                <a:tailEnd len="med" type="triangle" w="med"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stroked="t" style="position:absolute;margin-left:-5.3pt;margin-top:191.45pt;width:103.75pt;height:223.05pt" type="shapetype_32">
                      <w10:wrap type="none"/>
                      <v:fill o:detectmouseclick="t" on="false"/>
                      <v:stroke color="black" endarrow="block" endarrowwidth="medium" endarrowlength="medium" joinstyle="round" endcap="flat"/>
                    </v:shape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4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989330</wp:posOffset>
                      </wp:positionV>
                      <wp:extent cx="1318895" cy="2694305"/>
                      <wp:effectExtent l="0" t="0" r="0" b="0"/>
                      <wp:wrapNone/>
                      <wp:docPr id="3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318320" cy="26935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21600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rgbClr val="000000"/>
                                </a:solidFill>
                                <a:tailEnd len="med" type="triangle" w="med"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stroked="t" style="position:absolute;margin-left:-5.3pt;margin-top:77.9pt;width:103.75pt;height:212.05pt;flip:y" type="shapetype_32">
                      <w10:wrap type="none"/>
                      <v:fill o:detectmouseclick="t" on="false"/>
                      <v:stroke color="black" endarrow="block" endarrowwidth="medium" endarrowlength="medium" joinstyle="round" endcap="flat"/>
                    </v:shape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5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4416425</wp:posOffset>
                      </wp:positionV>
                      <wp:extent cx="1318895" cy="25400"/>
                      <wp:effectExtent l="0" t="0" r="0" b="0"/>
                      <wp:wrapNone/>
                      <wp:docPr id="4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8320" cy="2484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21600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rgbClr val="000000"/>
                                </a:solidFill>
                                <a:tailEnd len="med" type="triangle" w="med"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stroked="t" style="position:absolute;margin-left:-5.3pt;margin-top:347.75pt;width:103.75pt;height:1.9pt" type="shapetype_32">
                      <w10:wrap type="none"/>
                      <v:fill o:detectmouseclick="t" on="false"/>
                      <v:stroke color="black" endarrow="block" endarrowwidth="medium" endarrowlength="medium" joinstyle="round" endcap="flat"/>
                    </v:shape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6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2479675</wp:posOffset>
                      </wp:positionV>
                      <wp:extent cx="1318895" cy="2661920"/>
                      <wp:effectExtent l="0" t="0" r="0" b="0"/>
                      <wp:wrapNone/>
                      <wp:docPr id="5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318320" cy="26611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21600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rgbClr val="000000"/>
                                </a:solidFill>
                                <a:tailEnd len="med" type="triangle" w="med"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stroked="t" style="position:absolute;margin-left:-5.3pt;margin-top:195.25pt;width:103.75pt;height:209.5pt;flip:y" type="shapetype_32">
                      <w10:wrap type="none"/>
                      <v:fill o:detectmouseclick="t" on="false"/>
                      <v:stroke color="black" endarrow="block" endarrowwidth="medium" endarrowlength="medium" joinstyle="round" endcap="flat"/>
                    </v:shape>
                  </w:pict>
                </mc:Fallback>
              </mc:AlternateContent>
            </w:r>
          </w:p>
        </w:tc>
        <w:tc>
          <w:tcPr>
            <w:tcW w:w="492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Характеристика повязки</w:t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Ползучая</w:t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92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Накладывается в области локтевого или коленного суставов. Существует в двух вариантах: расходящаяся (повязка начинается в области сустава и чередуется турами бинта, которые накладываются выше и ниже сустава) и сходящаяся (повязка начинается с наложения двух круговых туров выше и ниже сустава, далее осуществляется бинтование по сходящемуся типу)</w:t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Циркулярная</w:t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92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Применяется в двух вариантах. Первый: без перегибов накладывается на цилиндрические части тела (плечо, бедро); второй: с перегибами накладывается на конусообразные части тела (голень, предплечье). Каждый последующий тур бинта перекрывает предыдущий на половину или две трети его ширины</w:t>
            </w:r>
          </w:p>
        </w:tc>
      </w:tr>
      <w:tr>
        <w:trPr/>
        <w:tc>
          <w:tcPr>
            <w:tcW w:w="2518" w:type="dxa"/>
            <w:tcBorders>
              <w:top w:val="nil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Черепашья</w:t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928" w:type="dxa"/>
            <w:tcBorders>
              <w:top w:val="nil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Применяется для фиксации большого по протяжённости перевязочного материала на верхних или нижних конечностях. Между отдельными турами остаётся свободное пространство, равное примерно ширине бинта</w:t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Пращевидная</w:t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92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Представляет собой разрезанную с двух сторон полосу марли (бинта) или любой мягкой материи</w:t>
            </w:r>
          </w:p>
        </w:tc>
      </w:tr>
      <w:tr>
        <w:trPr/>
        <w:tc>
          <w:tcPr>
            <w:tcW w:w="251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Спиральная </w:t>
            </w:r>
          </w:p>
        </w:tc>
        <w:tc>
          <w:tcPr>
            <w:tcW w:w="2125" w:type="dxa"/>
            <w:vMerge w:val="continue"/>
            <w:tcBorders>
              <w:bottom w:val="nil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928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Является началом любой мягкой бинтовой повязки и может быть самостоятельной при бинтовании в области лучезапястного сустава, плеча, головы на небольших по протяжённости участках повреждения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cs="Times New Roman" w:ascii="Times New Roman" w:hAnsi="Times New Roman"/>
          <w:color w:val="000000"/>
          <w:sz w:val="28"/>
          <w:szCs w:val="28"/>
        </w:rPr>
        <w:t xml:space="preserve">Максимальная оценка за правильно выполненное задание – 40 баллов. 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Style w:val="C0"/>
          <w:rFonts w:cs="Times New Roman" w:ascii="Times New Roman" w:hAnsi="Times New Roman"/>
          <w:color w:val="000000"/>
          <w:sz w:val="28"/>
          <w:szCs w:val="28"/>
        </w:rPr>
        <w:t>По 8 баллов за каждое правильное соответствие.</w:t>
      </w:r>
    </w:p>
    <w:p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Style w:val="C0"/>
          <w:rFonts w:cs="Times New Roman" w:ascii="Times New Roman" w:hAnsi="Times New Roman"/>
          <w:color w:val="000000"/>
          <w:sz w:val="28"/>
          <w:szCs w:val="28"/>
        </w:rPr>
        <w:t>Если ответ не указан или неверен, то баллы за позицию не начисляются.</w:t>
      </w:r>
    </w:p>
    <w:p>
      <w:pPr>
        <w:pStyle w:val="Normal"/>
        <w:rPr/>
      </w:pPr>
      <w:r>
        <w:rPr/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Тестовые задания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Определите один правильный ответ.</w:t>
      </w:r>
    </w:p>
    <w:p>
      <w:pPr>
        <w:pStyle w:val="NoSpacing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Spacing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Матрица ответов. Максимальное количество баллов – 30.</w:t>
      </w:r>
    </w:p>
    <w:tbl>
      <w:tblPr>
        <w:tblW w:w="7320" w:type="dxa"/>
        <w:jc w:val="left"/>
        <w:tblInd w:w="100" w:type="dxa"/>
        <w:tblCellMar>
          <w:top w:w="0" w:type="dxa"/>
          <w:left w:w="115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1458"/>
        <w:gridCol w:w="316"/>
        <w:gridCol w:w="315"/>
        <w:gridCol w:w="342"/>
        <w:gridCol w:w="316"/>
        <w:gridCol w:w="316"/>
        <w:gridCol w:w="315"/>
        <w:gridCol w:w="358"/>
        <w:gridCol w:w="342"/>
        <w:gridCol w:w="342"/>
        <w:gridCol w:w="435"/>
        <w:gridCol w:w="435"/>
        <w:gridCol w:w="434"/>
        <w:gridCol w:w="435"/>
        <w:gridCol w:w="435"/>
        <w:gridCol w:w="621"/>
        <w:gridCol w:w="105"/>
      </w:tblGrid>
      <w:tr>
        <w:trPr/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вопроса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ответа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05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pStyle w:val="NoSpacing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*Все правильные ответы оцениваются в 2 балла. 0 баллов выставляется за неправильный ответ, а также если участником отмечено более одного ответа (в том числе правильный).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6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56cd4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3">
    <w:name w:val="Heading 3"/>
    <w:basedOn w:val="Normal"/>
    <w:link w:val="30"/>
    <w:uiPriority w:val="9"/>
    <w:qFormat/>
    <w:rsid w:val="00b55fb7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basedOn w:val="DefaultParagraphFont"/>
    <w:link w:val="3"/>
    <w:uiPriority w:val="9"/>
    <w:qFormat/>
    <w:rsid w:val="00b55fb7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Strong">
    <w:name w:val="Strong"/>
    <w:uiPriority w:val="22"/>
    <w:qFormat/>
    <w:rsid w:val="00b55fb7"/>
    <w:rPr>
      <w:rFonts w:cs="Times New Roman"/>
      <w:b/>
    </w:rPr>
  </w:style>
  <w:style w:type="character" w:styleId="C2" w:customStyle="1">
    <w:name w:val="c2"/>
    <w:basedOn w:val="DefaultParagraphFont"/>
    <w:qFormat/>
    <w:rsid w:val="00956cd4"/>
    <w:rPr/>
  </w:style>
  <w:style w:type="character" w:styleId="C24" w:customStyle="1">
    <w:name w:val="c24"/>
    <w:basedOn w:val="DefaultParagraphFont"/>
    <w:qFormat/>
    <w:rsid w:val="00956cd4"/>
    <w:rPr/>
  </w:style>
  <w:style w:type="character" w:styleId="C0" w:customStyle="1">
    <w:name w:val="c0"/>
    <w:basedOn w:val="DefaultParagraphFont"/>
    <w:qFormat/>
    <w:rsid w:val="00956cd4"/>
    <w:rPr/>
  </w:style>
  <w:style w:type="character" w:styleId="C17" w:customStyle="1">
    <w:name w:val="c17"/>
    <w:basedOn w:val="DefaultParagraphFont"/>
    <w:qFormat/>
    <w:rsid w:val="00956cd4"/>
    <w:rPr/>
  </w:style>
  <w:style w:type="character" w:styleId="C18" w:customStyle="1">
    <w:name w:val="c18"/>
    <w:basedOn w:val="DefaultParagraphFont"/>
    <w:qFormat/>
    <w:rsid w:val="00956cd4"/>
    <w:rPr/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Ari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b55fb7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8" w:customStyle="1">
    <w:name w:val="c8"/>
    <w:basedOn w:val="Normal"/>
    <w:qFormat/>
    <w:rsid w:val="00956cd4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23" w:customStyle="1">
    <w:name w:val="c23"/>
    <w:basedOn w:val="Normal"/>
    <w:qFormat/>
    <w:rsid w:val="00956cd4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qFormat/>
    <w:rsid w:val="004a696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956cd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Application>LibreOffice/6.4.4.2$Windows_X86_64 LibreOffice_project/3d775be2011f3886db32dfd395a6a6d1ca2630ff</Application>
  <Pages>3</Pages>
  <Words>629</Words>
  <Characters>3952</Characters>
  <CharactersWithSpaces>4507</CharactersWithSpaces>
  <Paragraphs>84</Paragraphs>
  <Company>RePack by SPecialiST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2023-07-27T13:49:00Z</dcterms:created>
  <dc:creator>79212</dc:creator>
  <dc:description/>
  <dc:language>ru-RU</dc:language>
  <cp:lastModifiedBy/>
  <dcterms:modified xsi:type="dcterms:W3CDTF">2023-09-17T18:56:16Z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